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0DAB" w:rsidRPr="002B0DAB" w:rsidRDefault="002B0DAB" w:rsidP="001758B3">
      <w:pPr>
        <w:pStyle w:val="Default"/>
        <w:jc w:val="both"/>
        <w:rPr>
          <w:rFonts w:ascii="Verdana" w:eastAsia="Verdana" w:hAnsi="Verdana" w:cs="Verdana"/>
          <w:b/>
          <w:bCs/>
          <w:color w:val="auto"/>
          <w:sz w:val="22"/>
          <w:szCs w:val="22"/>
          <w:lang w:val="en-US"/>
        </w:rPr>
      </w:pPr>
      <w:r w:rsidRPr="002B0DAB">
        <w:rPr>
          <w:rFonts w:ascii="Verdana" w:eastAsia="Verdana" w:hAnsi="Verdana" w:cs="Verdana"/>
          <w:b/>
          <w:bCs/>
          <w:color w:val="auto"/>
          <w:sz w:val="22"/>
          <w:szCs w:val="22"/>
          <w:lang w:val="en-US"/>
        </w:rPr>
        <w:t>REMUNERATION POLICY</w:t>
      </w:r>
    </w:p>
    <w:p w:rsidR="002B0DAB" w:rsidRDefault="002B0DAB" w:rsidP="001758B3">
      <w:pPr>
        <w:pStyle w:val="Default"/>
        <w:jc w:val="both"/>
        <w:rPr>
          <w:rFonts w:ascii="Verdana" w:eastAsia="Verdana" w:hAnsi="Verdana" w:cs="Verdana"/>
          <w:bCs/>
          <w:color w:val="auto"/>
          <w:sz w:val="22"/>
          <w:szCs w:val="22"/>
          <w:lang w:val="en-US"/>
        </w:rPr>
      </w:pPr>
    </w:p>
    <w:p w:rsidR="001758B3" w:rsidRDefault="001758B3" w:rsidP="001758B3">
      <w:pPr>
        <w:pStyle w:val="Default"/>
        <w:jc w:val="both"/>
        <w:rPr>
          <w:sz w:val="22"/>
          <w:szCs w:val="22"/>
        </w:rPr>
      </w:pPr>
      <w:r w:rsidRPr="001758B3">
        <w:rPr>
          <w:rFonts w:ascii="Verdana" w:eastAsia="Verdana" w:hAnsi="Verdana" w:cs="Verdana"/>
          <w:bCs/>
          <w:color w:val="auto"/>
          <w:sz w:val="22"/>
          <w:szCs w:val="22"/>
          <w:lang w:val="en-US"/>
        </w:rPr>
        <w:t xml:space="preserve">The Remuneration Policy </w:t>
      </w:r>
      <w:r w:rsidR="00B25F0B" w:rsidRPr="001758B3">
        <w:rPr>
          <w:rFonts w:ascii="Verdana" w:eastAsia="Verdana" w:hAnsi="Verdana" w:cs="Verdana"/>
          <w:bCs/>
          <w:color w:val="auto"/>
          <w:sz w:val="22"/>
          <w:szCs w:val="22"/>
          <w:lang w:val="en-US"/>
        </w:rPr>
        <w:t xml:space="preserve">of </w:t>
      </w:r>
      <w:proofErr w:type="spellStart"/>
      <w:r w:rsidR="00B25F0B">
        <w:rPr>
          <w:rFonts w:ascii="Verdana" w:eastAsia="Verdana" w:hAnsi="Verdana" w:cs="Verdana"/>
          <w:bCs/>
          <w:color w:val="auto"/>
          <w:sz w:val="22"/>
          <w:szCs w:val="22"/>
          <w:lang w:val="en-US"/>
        </w:rPr>
        <w:t>Dhanashree</w:t>
      </w:r>
      <w:proofErr w:type="spellEnd"/>
      <w:r>
        <w:rPr>
          <w:rFonts w:ascii="Verdana" w:eastAsia="Verdana" w:hAnsi="Verdana" w:cs="Verdana"/>
          <w:bCs/>
          <w:color w:val="auto"/>
          <w:sz w:val="22"/>
          <w:szCs w:val="22"/>
          <w:lang w:val="en-US"/>
        </w:rPr>
        <w:t xml:space="preserve"> Electronics </w:t>
      </w:r>
      <w:r w:rsidRPr="001758B3">
        <w:rPr>
          <w:rFonts w:ascii="Verdana" w:eastAsia="Verdana" w:hAnsi="Verdana" w:cs="Verdana"/>
          <w:bCs/>
          <w:color w:val="auto"/>
          <w:sz w:val="22"/>
          <w:szCs w:val="22"/>
          <w:lang w:val="en-US"/>
        </w:rPr>
        <w:t xml:space="preserve">Limited is formulated by the Nomination and Remuneration Committee in line with the prevailing provisions of Section 178 of the Companies Act, 2013 and Regulation 19 of the </w:t>
      </w:r>
      <w:r w:rsidR="00B25F0B" w:rsidRPr="001758B3">
        <w:rPr>
          <w:rFonts w:ascii="Verdana" w:eastAsia="Verdana" w:hAnsi="Verdana" w:cs="Verdana"/>
          <w:bCs/>
          <w:color w:val="auto"/>
          <w:sz w:val="22"/>
          <w:szCs w:val="22"/>
          <w:lang w:val="en-US"/>
        </w:rPr>
        <w:t>S</w:t>
      </w:r>
      <w:r w:rsidR="00B25F0B">
        <w:rPr>
          <w:rFonts w:ascii="Verdana" w:eastAsia="Verdana" w:hAnsi="Verdana" w:cs="Verdana"/>
          <w:bCs/>
          <w:color w:val="auto"/>
          <w:sz w:val="22"/>
          <w:szCs w:val="22"/>
          <w:lang w:val="en-US"/>
        </w:rPr>
        <w:t>EBI</w:t>
      </w:r>
      <w:r w:rsidR="00B25F0B" w:rsidRPr="001758B3">
        <w:rPr>
          <w:rFonts w:ascii="Verdana" w:eastAsia="Verdana" w:hAnsi="Verdana" w:cs="Verdana"/>
          <w:bCs/>
          <w:color w:val="auto"/>
          <w:sz w:val="22"/>
          <w:szCs w:val="22"/>
          <w:lang w:val="en-US"/>
        </w:rPr>
        <w:t xml:space="preserve"> (</w:t>
      </w:r>
      <w:r w:rsidRPr="001758B3">
        <w:rPr>
          <w:rFonts w:ascii="Verdana" w:eastAsia="Verdana" w:hAnsi="Verdana" w:cs="Verdana"/>
          <w:bCs/>
          <w:color w:val="auto"/>
          <w:sz w:val="22"/>
          <w:szCs w:val="22"/>
          <w:lang w:val="en-US"/>
        </w:rPr>
        <w:t>L</w:t>
      </w:r>
      <w:r>
        <w:rPr>
          <w:rFonts w:ascii="Verdana" w:eastAsia="Verdana" w:hAnsi="Verdana" w:cs="Verdana"/>
          <w:bCs/>
          <w:color w:val="auto"/>
          <w:sz w:val="22"/>
          <w:szCs w:val="22"/>
          <w:lang w:val="en-US"/>
        </w:rPr>
        <w:t>ODR</w:t>
      </w:r>
      <w:r w:rsidRPr="001758B3">
        <w:rPr>
          <w:rFonts w:ascii="Verdana" w:eastAsia="Verdana" w:hAnsi="Verdana" w:cs="Verdana"/>
          <w:bCs/>
          <w:color w:val="auto"/>
          <w:sz w:val="22"/>
          <w:szCs w:val="22"/>
          <w:lang w:val="en-US"/>
        </w:rPr>
        <w:t>) Regulations, 2015. This policy aims to set out criteria for the remuneration of Directors, Key Managerial Personnel, and senior managerial positions</w:t>
      </w:r>
      <w:r>
        <w:rPr>
          <w:sz w:val="22"/>
          <w:szCs w:val="22"/>
        </w:rPr>
        <w:t xml:space="preserve">. </w:t>
      </w:r>
    </w:p>
    <w:p w:rsidR="001758B3" w:rsidRDefault="001758B3" w:rsidP="001758B3">
      <w:pPr>
        <w:pStyle w:val="Title"/>
        <w:ind w:left="0"/>
        <w:jc w:val="both"/>
        <w:rPr>
          <w:b w:val="0"/>
        </w:rPr>
      </w:pPr>
      <w:r w:rsidRPr="001758B3">
        <w:rPr>
          <w:b w:val="0"/>
        </w:rPr>
        <w:t>The Company recognizes the importance of human resources in its growth and success and strives for a diverse Board with a mix of Executive and Independent Directors, providing the desired vision, governance structure, and mission to achieve its goals.</w:t>
      </w:r>
    </w:p>
    <w:p w:rsidR="002B0DAB" w:rsidRDefault="002B0DAB" w:rsidP="002B0DAB">
      <w:pPr>
        <w:pStyle w:val="Default"/>
        <w:jc w:val="both"/>
        <w:rPr>
          <w:rFonts w:ascii="Verdana" w:eastAsia="Verdana" w:hAnsi="Verdana" w:cs="Verdana"/>
          <w:b/>
          <w:bCs/>
          <w:color w:val="auto"/>
          <w:sz w:val="22"/>
          <w:szCs w:val="22"/>
          <w:lang w:val="en-US"/>
        </w:rPr>
      </w:pPr>
    </w:p>
    <w:p w:rsidR="001758B3" w:rsidRPr="002B0DAB" w:rsidRDefault="001758B3" w:rsidP="002B0DAB">
      <w:pPr>
        <w:pStyle w:val="Default"/>
        <w:jc w:val="both"/>
        <w:rPr>
          <w:rFonts w:ascii="Verdana" w:eastAsia="Verdana" w:hAnsi="Verdana" w:cs="Verdana"/>
          <w:b/>
          <w:bCs/>
          <w:color w:val="auto"/>
          <w:sz w:val="22"/>
          <w:szCs w:val="22"/>
          <w:lang w:val="en-US"/>
        </w:rPr>
      </w:pPr>
      <w:r w:rsidRPr="002B0DAB">
        <w:rPr>
          <w:rFonts w:ascii="Verdana" w:eastAsia="Verdana" w:hAnsi="Verdana" w:cs="Verdana"/>
          <w:b/>
          <w:bCs/>
          <w:color w:val="auto"/>
          <w:sz w:val="22"/>
          <w:szCs w:val="22"/>
          <w:lang w:val="en-US"/>
        </w:rPr>
        <w:t xml:space="preserve">OBJECTIVE </w:t>
      </w:r>
    </w:p>
    <w:p w:rsidR="001758B3" w:rsidRPr="001758B3" w:rsidRDefault="001758B3" w:rsidP="001758B3">
      <w:pPr>
        <w:pStyle w:val="Default"/>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The objective of this Policy is to provide a guiding framework for appointing qualified individuals as Directors, Key Managerial Personnel (KMP), and Senior Management Personnel (SMP), recommending their remuneration, and evaluating their performance. This Policy outlines the following key aspects: </w:t>
      </w:r>
    </w:p>
    <w:p w:rsidR="001758B3" w:rsidRPr="001758B3" w:rsidRDefault="001758B3" w:rsidP="001758B3">
      <w:pPr>
        <w:pStyle w:val="Default"/>
        <w:spacing w:after="18"/>
        <w:rPr>
          <w:rFonts w:ascii="Verdana" w:eastAsia="Verdana" w:hAnsi="Verdana" w:cs="Verdana"/>
          <w:bCs/>
          <w:color w:val="auto"/>
          <w:sz w:val="22"/>
          <w:szCs w:val="22"/>
          <w:lang w:val="en-US"/>
        </w:rPr>
      </w:pPr>
      <w:proofErr w:type="spellStart"/>
      <w:r w:rsidRPr="001758B3">
        <w:rPr>
          <w:rFonts w:ascii="Verdana" w:eastAsia="Verdana" w:hAnsi="Verdana" w:cs="Verdana"/>
          <w:bCs/>
          <w:color w:val="auto"/>
          <w:sz w:val="22"/>
          <w:szCs w:val="22"/>
          <w:lang w:val="en-US"/>
        </w:rPr>
        <w:t>i</w:t>
      </w:r>
      <w:proofErr w:type="spellEnd"/>
      <w:r w:rsidRPr="001758B3">
        <w:rPr>
          <w:rFonts w:ascii="Verdana" w:eastAsia="Verdana" w:hAnsi="Verdana" w:cs="Verdana"/>
          <w:bCs/>
          <w:color w:val="auto"/>
          <w:sz w:val="22"/>
          <w:szCs w:val="22"/>
          <w:lang w:val="en-US"/>
        </w:rPr>
        <w:t xml:space="preserve">. Guiding the Board in relation to the appointment and removal of Directors, KMP, and Senior Management. </w:t>
      </w:r>
    </w:p>
    <w:p w:rsidR="001758B3" w:rsidRPr="001758B3" w:rsidRDefault="001758B3" w:rsidP="001758B3">
      <w:pPr>
        <w:pStyle w:val="Default"/>
        <w:spacing w:after="18"/>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ii. Formulating criteria for determining qualifications, competencies, positive attributes, and independence for appointment of Directors. </w:t>
      </w:r>
    </w:p>
    <w:p w:rsidR="001758B3" w:rsidRPr="001758B3" w:rsidRDefault="001758B3" w:rsidP="001758B3">
      <w:pPr>
        <w:pStyle w:val="Default"/>
        <w:spacing w:after="18"/>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iii. Establishing criteria for Independence in line with the Companies Act and Listing Regulations for evaluation of Independent Directors and the Board. </w:t>
      </w:r>
    </w:p>
    <w:p w:rsidR="001758B3" w:rsidRPr="001758B3" w:rsidRDefault="001758B3" w:rsidP="001758B3">
      <w:pPr>
        <w:pStyle w:val="Default"/>
        <w:spacing w:after="18"/>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iv. Recommending a policy on remuneration for Directors, KMP, and Senior Management to the Board. </w:t>
      </w:r>
    </w:p>
    <w:p w:rsidR="001758B3" w:rsidRPr="001758B3" w:rsidRDefault="001758B3" w:rsidP="001758B3">
      <w:pPr>
        <w:pStyle w:val="Default"/>
        <w:spacing w:after="18"/>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v. Evaluating the performance of the Board. </w:t>
      </w:r>
    </w:p>
    <w:p w:rsidR="001758B3" w:rsidRPr="001758B3" w:rsidRDefault="001758B3" w:rsidP="001758B3">
      <w:pPr>
        <w:pStyle w:val="Default"/>
        <w:spacing w:after="18"/>
        <w:rPr>
          <w:rFonts w:ascii="Verdana" w:eastAsia="Verdana" w:hAnsi="Verdana" w:cs="Verdana"/>
          <w:bCs/>
          <w:color w:val="auto"/>
          <w:sz w:val="22"/>
          <w:szCs w:val="22"/>
          <w:lang w:val="en-US"/>
        </w:rPr>
      </w:pPr>
      <w:r w:rsidRPr="001758B3">
        <w:rPr>
          <w:rFonts w:ascii="Verdana" w:eastAsia="Verdana" w:hAnsi="Verdana" w:cs="Verdana"/>
          <w:bCs/>
          <w:color w:val="auto"/>
          <w:sz w:val="22"/>
          <w:szCs w:val="22"/>
          <w:lang w:val="en-US"/>
        </w:rPr>
        <w:t xml:space="preserve">vi. Devising a policy for Board diversity. </w:t>
      </w:r>
    </w:p>
    <w:p w:rsidR="001758B3" w:rsidRDefault="001758B3" w:rsidP="001758B3">
      <w:pPr>
        <w:pStyle w:val="Default"/>
        <w:rPr>
          <w:sz w:val="22"/>
          <w:szCs w:val="22"/>
        </w:rPr>
      </w:pPr>
      <w:r w:rsidRPr="001758B3">
        <w:rPr>
          <w:rFonts w:ascii="Verdana" w:eastAsia="Verdana" w:hAnsi="Verdana" w:cs="Verdana"/>
          <w:bCs/>
          <w:color w:val="auto"/>
          <w:sz w:val="22"/>
          <w:szCs w:val="22"/>
          <w:lang w:val="en-US"/>
        </w:rPr>
        <w:t xml:space="preserve">vii. Providing recommendations on the formulation, implementation, and timely </w:t>
      </w:r>
      <w:proofErr w:type="spellStart"/>
      <w:r w:rsidRPr="001758B3">
        <w:rPr>
          <w:rFonts w:ascii="Verdana" w:eastAsia="Verdana" w:hAnsi="Verdana" w:cs="Verdana"/>
          <w:bCs/>
          <w:color w:val="auto"/>
          <w:sz w:val="22"/>
          <w:szCs w:val="22"/>
          <w:lang w:val="en-US"/>
        </w:rPr>
        <w:t>updation</w:t>
      </w:r>
      <w:proofErr w:type="spellEnd"/>
      <w:r w:rsidRPr="001758B3">
        <w:rPr>
          <w:rFonts w:ascii="Verdana" w:eastAsia="Verdana" w:hAnsi="Verdana" w:cs="Verdana"/>
          <w:bCs/>
          <w:color w:val="auto"/>
          <w:sz w:val="22"/>
          <w:szCs w:val="22"/>
          <w:lang w:val="en-US"/>
        </w:rPr>
        <w:t xml:space="preserve"> of Employee Stock Options Plans and Schemes</w:t>
      </w:r>
      <w:r>
        <w:rPr>
          <w:sz w:val="22"/>
          <w:szCs w:val="22"/>
        </w:rPr>
        <w:t xml:space="preserve">. </w:t>
      </w:r>
    </w:p>
    <w:p w:rsidR="001758B3" w:rsidRDefault="001758B3" w:rsidP="001758B3">
      <w:pPr>
        <w:pStyle w:val="Title"/>
        <w:ind w:left="0"/>
        <w:jc w:val="both"/>
        <w:rPr>
          <w:b w:val="0"/>
        </w:rPr>
      </w:pPr>
    </w:p>
    <w:p w:rsidR="001758B3" w:rsidRPr="00B25F0B" w:rsidRDefault="001758B3" w:rsidP="001758B3">
      <w:pPr>
        <w:pStyle w:val="Default"/>
        <w:rPr>
          <w:rFonts w:ascii="Verdana" w:eastAsia="Verdana" w:hAnsi="Verdana" w:cs="Verdana"/>
          <w:b/>
          <w:bCs/>
          <w:color w:val="auto"/>
          <w:sz w:val="22"/>
          <w:szCs w:val="22"/>
          <w:lang w:val="en-US"/>
        </w:rPr>
      </w:pPr>
      <w:r w:rsidRPr="00B25F0B">
        <w:rPr>
          <w:rFonts w:ascii="Verdana" w:eastAsia="Verdana" w:hAnsi="Verdana" w:cs="Verdana"/>
          <w:b/>
          <w:bCs/>
          <w:color w:val="auto"/>
          <w:sz w:val="22"/>
          <w:szCs w:val="22"/>
          <w:lang w:val="en-US"/>
        </w:rPr>
        <w:t>NOMINATION AN</w:t>
      </w:r>
      <w:r w:rsidR="00C262E2">
        <w:rPr>
          <w:rFonts w:ascii="Verdana" w:eastAsia="Verdana" w:hAnsi="Verdana" w:cs="Verdana"/>
          <w:b/>
          <w:bCs/>
          <w:color w:val="auto"/>
          <w:sz w:val="22"/>
          <w:szCs w:val="22"/>
          <w:lang w:val="en-US"/>
        </w:rPr>
        <w:t>D REMUNERATION COMMITTEE (</w:t>
      </w:r>
      <w:proofErr w:type="gramStart"/>
      <w:r w:rsidR="00C262E2">
        <w:rPr>
          <w:rFonts w:ascii="Verdana" w:eastAsia="Verdana" w:hAnsi="Verdana" w:cs="Verdana"/>
          <w:b/>
          <w:bCs/>
          <w:color w:val="auto"/>
          <w:sz w:val="22"/>
          <w:szCs w:val="22"/>
          <w:lang w:val="en-US"/>
        </w:rPr>
        <w:t xml:space="preserve">NRC </w:t>
      </w:r>
      <w:r w:rsidRPr="00B25F0B">
        <w:rPr>
          <w:rFonts w:ascii="Verdana" w:eastAsia="Verdana" w:hAnsi="Verdana" w:cs="Verdana"/>
          <w:b/>
          <w:bCs/>
          <w:color w:val="auto"/>
          <w:sz w:val="22"/>
          <w:szCs w:val="22"/>
          <w:lang w:val="en-US"/>
        </w:rPr>
        <w:t>)</w:t>
      </w:r>
      <w:proofErr w:type="gramEnd"/>
      <w:r w:rsidRPr="00B25F0B">
        <w:rPr>
          <w:rFonts w:ascii="Verdana" w:eastAsia="Verdana" w:hAnsi="Verdana" w:cs="Verdana"/>
          <w:b/>
          <w:bCs/>
          <w:color w:val="auto"/>
          <w:sz w:val="22"/>
          <w:szCs w:val="22"/>
          <w:lang w:val="en-US"/>
        </w:rPr>
        <w:t xml:space="preserve"> </w:t>
      </w:r>
    </w:p>
    <w:p w:rsidR="001758B3" w:rsidRPr="001758B3" w:rsidRDefault="001758B3" w:rsidP="001758B3">
      <w:pPr>
        <w:pStyle w:val="BodyText"/>
        <w:spacing w:line="278" w:lineRule="auto"/>
        <w:ind w:right="146"/>
        <w:jc w:val="both"/>
        <w:rPr>
          <w:bCs/>
        </w:rPr>
      </w:pPr>
      <w:r w:rsidRPr="001758B3">
        <w:rPr>
          <w:bCs/>
        </w:rPr>
        <w:t>The Constitution of the Nomination and Remuneration Committee is in line with the</w:t>
      </w:r>
      <w:r w:rsidR="00B25F0B" w:rsidRPr="00B25F0B">
        <w:rPr>
          <w:bCs/>
        </w:rPr>
        <w:t xml:space="preserve"> </w:t>
      </w:r>
      <w:proofErr w:type="gramStart"/>
      <w:r w:rsidR="00B25F0B" w:rsidRPr="001758B3">
        <w:rPr>
          <w:bCs/>
        </w:rPr>
        <w:t>S</w:t>
      </w:r>
      <w:r w:rsidR="00B25F0B">
        <w:rPr>
          <w:bCs/>
        </w:rPr>
        <w:t>EBI</w:t>
      </w:r>
      <w:r w:rsidR="00B25F0B" w:rsidRPr="001758B3">
        <w:rPr>
          <w:bCs/>
        </w:rPr>
        <w:t>(</w:t>
      </w:r>
      <w:proofErr w:type="gramEnd"/>
      <w:r w:rsidR="00B25F0B" w:rsidRPr="001758B3">
        <w:rPr>
          <w:bCs/>
        </w:rPr>
        <w:t>L</w:t>
      </w:r>
      <w:r w:rsidR="00B25F0B">
        <w:rPr>
          <w:bCs/>
        </w:rPr>
        <w:t>ODR</w:t>
      </w:r>
      <w:r w:rsidR="00B25F0B" w:rsidRPr="001758B3">
        <w:rPr>
          <w:bCs/>
        </w:rPr>
        <w:t>) Regulations, 2015</w:t>
      </w:r>
      <w:r w:rsidR="00B25F0B">
        <w:rPr>
          <w:bCs/>
        </w:rPr>
        <w:t>.</w:t>
      </w:r>
      <w:r w:rsidRPr="001758B3">
        <w:rPr>
          <w:bCs/>
        </w:rPr>
        <w:t xml:space="preserve">The Board has the authority to reconstitute this Committee from time to time. This Policy and the Nomination and Remuneration Committee Charter are integral to the functioning of the Nomination and Remuneration Committee and are to be read together. </w:t>
      </w:r>
    </w:p>
    <w:p w:rsidR="001758B3" w:rsidRDefault="001758B3" w:rsidP="001758B3">
      <w:pPr>
        <w:pStyle w:val="BodyText"/>
        <w:spacing w:line="278" w:lineRule="auto"/>
        <w:ind w:right="146"/>
        <w:jc w:val="both"/>
        <w:rPr>
          <w:bCs/>
        </w:rPr>
      </w:pPr>
      <w:r w:rsidRPr="001758B3">
        <w:rPr>
          <w:bCs/>
        </w:rPr>
        <w:t>The Committee shall comprise of at least three Directors, all of whom shall be non-executive Directors, and at least two-thirds of the Directors shall be Independent. The Chairperson of the Company may be appointed as a member of the Nomination and Remuneration Committee but shall not chair such Committee. The Board shall reconstitute the Committee as and when required to comply with the provisions of the Act and Listing Regulations. The Constitution of the Committee shall be disclosed in the Annual Report</w:t>
      </w:r>
    </w:p>
    <w:p w:rsidR="00B25F0B" w:rsidRDefault="00B25F0B" w:rsidP="00B25F0B">
      <w:pPr>
        <w:pStyle w:val="Default"/>
        <w:jc w:val="both"/>
        <w:rPr>
          <w:rFonts w:ascii="Verdana" w:eastAsia="Verdana" w:hAnsi="Verdana" w:cs="Verdana"/>
          <w:bCs/>
          <w:color w:val="auto"/>
          <w:sz w:val="22"/>
          <w:szCs w:val="22"/>
          <w:lang w:val="en-US"/>
        </w:rPr>
      </w:pPr>
      <w:r w:rsidRPr="00B25F0B">
        <w:rPr>
          <w:rFonts w:ascii="Verdana" w:eastAsia="Verdana" w:hAnsi="Verdana" w:cs="Verdana"/>
          <w:bCs/>
          <w:color w:val="auto"/>
          <w:sz w:val="22"/>
          <w:szCs w:val="22"/>
          <w:lang w:val="en-US"/>
        </w:rPr>
        <w:t xml:space="preserve">The Chairperson of the Nomination and Remuneration Committee should be present at the Annual General Meeting or may nominate some other member to answer the shareholders' queries. The term of the Committee shall be perpetual unless otherwise terminated by the Board of Directors. </w:t>
      </w:r>
    </w:p>
    <w:p w:rsidR="00B25F0B" w:rsidRDefault="00B25F0B" w:rsidP="00B25F0B">
      <w:pPr>
        <w:pStyle w:val="Default"/>
        <w:jc w:val="both"/>
        <w:rPr>
          <w:rFonts w:ascii="Verdana" w:eastAsia="Verdana" w:hAnsi="Verdana" w:cs="Verdana"/>
          <w:bCs/>
          <w:color w:val="auto"/>
          <w:sz w:val="22"/>
          <w:szCs w:val="22"/>
          <w:lang w:val="en-US"/>
        </w:rPr>
      </w:pPr>
    </w:p>
    <w:p w:rsidR="00B25F0B" w:rsidRDefault="00B25F0B" w:rsidP="00B25F0B">
      <w:pPr>
        <w:pStyle w:val="Default"/>
        <w:jc w:val="both"/>
        <w:rPr>
          <w:rFonts w:ascii="Verdana" w:eastAsia="Verdana" w:hAnsi="Verdana" w:cs="Verdana"/>
          <w:bCs/>
          <w:color w:val="auto"/>
          <w:sz w:val="22"/>
          <w:szCs w:val="22"/>
          <w:lang w:val="en-US"/>
        </w:rPr>
      </w:pPr>
    </w:p>
    <w:p w:rsidR="00B25F0B" w:rsidRDefault="00B25F0B" w:rsidP="00B25F0B">
      <w:pPr>
        <w:pStyle w:val="Default"/>
        <w:jc w:val="both"/>
        <w:rPr>
          <w:rFonts w:ascii="Verdana" w:eastAsia="Verdana" w:hAnsi="Verdana" w:cs="Verdana"/>
          <w:bCs/>
          <w:color w:val="auto"/>
          <w:sz w:val="22"/>
          <w:szCs w:val="22"/>
          <w:lang w:val="en-US"/>
        </w:rPr>
      </w:pPr>
    </w:p>
    <w:p w:rsidR="00B25F0B" w:rsidRDefault="00B25F0B" w:rsidP="00B25F0B">
      <w:pPr>
        <w:pStyle w:val="Default"/>
        <w:jc w:val="both"/>
        <w:rPr>
          <w:rFonts w:ascii="Verdana" w:eastAsia="Verdana" w:hAnsi="Verdana" w:cs="Verdana"/>
          <w:bCs/>
          <w:color w:val="auto"/>
          <w:sz w:val="22"/>
          <w:szCs w:val="22"/>
          <w:lang w:val="en-US"/>
        </w:rPr>
      </w:pPr>
    </w:p>
    <w:p w:rsidR="00B25F0B" w:rsidRDefault="00B25F0B" w:rsidP="00B25F0B">
      <w:pPr>
        <w:pStyle w:val="Default"/>
        <w:jc w:val="both"/>
        <w:rPr>
          <w:rFonts w:ascii="Verdana" w:eastAsia="Verdana" w:hAnsi="Verdana" w:cs="Verdana"/>
          <w:bCs/>
          <w:color w:val="auto"/>
          <w:sz w:val="22"/>
          <w:szCs w:val="22"/>
          <w:lang w:val="en-US"/>
        </w:rPr>
      </w:pPr>
    </w:p>
    <w:p w:rsidR="00B25F0B" w:rsidRDefault="00B25F0B" w:rsidP="00B25F0B">
      <w:pPr>
        <w:pStyle w:val="Default"/>
        <w:jc w:val="both"/>
        <w:rPr>
          <w:rFonts w:ascii="Verdana" w:eastAsia="Verdana" w:hAnsi="Verdana" w:cs="Verdana"/>
          <w:bCs/>
          <w:color w:val="auto"/>
          <w:sz w:val="22"/>
          <w:szCs w:val="22"/>
          <w:lang w:val="en-US"/>
        </w:rPr>
      </w:pPr>
    </w:p>
    <w:p w:rsidR="00B25F0B" w:rsidRPr="00B25F0B" w:rsidRDefault="00B25F0B" w:rsidP="00B25F0B">
      <w:pPr>
        <w:pStyle w:val="Default"/>
        <w:jc w:val="both"/>
        <w:rPr>
          <w:rFonts w:ascii="Verdana" w:eastAsia="Verdana" w:hAnsi="Verdana" w:cs="Verdana"/>
          <w:bCs/>
          <w:color w:val="auto"/>
          <w:sz w:val="22"/>
          <w:szCs w:val="22"/>
          <w:lang w:val="en-US"/>
        </w:rPr>
      </w:pPr>
    </w:p>
    <w:p w:rsidR="00B25F0B" w:rsidRPr="001758B3" w:rsidRDefault="00B25F0B" w:rsidP="00B25F0B">
      <w:pPr>
        <w:pStyle w:val="BodyText"/>
        <w:spacing w:line="278" w:lineRule="auto"/>
        <w:ind w:right="146"/>
        <w:jc w:val="both"/>
        <w:rPr>
          <w:bCs/>
        </w:rPr>
      </w:pPr>
      <w:r w:rsidRPr="00B25F0B">
        <w:rPr>
          <w:bCs/>
        </w:rPr>
        <w:t>The meeting of the Committee shall be held at least once a year. Proceedings of all meetings must be minutes and signed by the Chairman of the said meeting or the Chairman of the next succeeding meeting. Minutes of the Committee Meeting will be tabled at the subsequent Board and Committee meeting.</w:t>
      </w:r>
    </w:p>
    <w:p w:rsidR="004A2AA3" w:rsidRPr="001758B3" w:rsidRDefault="004A2AA3" w:rsidP="001758B3">
      <w:pPr>
        <w:pStyle w:val="Title"/>
        <w:ind w:left="0"/>
      </w:pPr>
      <w:r w:rsidRPr="001758B3">
        <w:t>POLICY FOR REMUNERATION OF DIRECTORS, KEY MANAGERIAL PERSONNELS (KMPs) AND OTHER</w:t>
      </w:r>
      <w:r w:rsidR="00F93B92" w:rsidRPr="001758B3">
        <w:t xml:space="preserve"> </w:t>
      </w:r>
      <w:r w:rsidRPr="001758B3">
        <w:t>EMPLOYEES</w:t>
      </w:r>
    </w:p>
    <w:p w:rsidR="004A2AA3" w:rsidRPr="00AF3BC0" w:rsidRDefault="004A2AA3" w:rsidP="001758B3">
      <w:pPr>
        <w:pStyle w:val="BodyText"/>
        <w:spacing w:line="278" w:lineRule="auto"/>
        <w:ind w:right="146"/>
        <w:jc w:val="both"/>
        <w:rPr>
          <w:bCs/>
        </w:rPr>
      </w:pPr>
      <w:r w:rsidRPr="00AF3BC0">
        <w:rPr>
          <w:bCs/>
        </w:rPr>
        <w:t>The Company follows the policy to fix remuneration of its Directors, KMPs and other employees by</w:t>
      </w:r>
      <w:r w:rsidR="00F93B92" w:rsidRPr="00AF3BC0">
        <w:rPr>
          <w:bCs/>
        </w:rPr>
        <w:t xml:space="preserve"> </w:t>
      </w:r>
      <w:r w:rsidRPr="00AF3BC0">
        <w:rPr>
          <w:bCs/>
        </w:rPr>
        <w:t>taking into account the trend in the industry, qualification, experience, past performance and past</w:t>
      </w:r>
      <w:r w:rsidR="00F93B92" w:rsidRPr="00AF3BC0">
        <w:rPr>
          <w:bCs/>
        </w:rPr>
        <w:t xml:space="preserve"> </w:t>
      </w:r>
      <w:r w:rsidRPr="00AF3BC0">
        <w:rPr>
          <w:bCs/>
        </w:rPr>
        <w:t xml:space="preserve">remuneration of the respective </w:t>
      </w:r>
      <w:r w:rsidR="00F93B92" w:rsidRPr="00AF3BC0">
        <w:rPr>
          <w:bCs/>
        </w:rPr>
        <w:t>D</w:t>
      </w:r>
      <w:r w:rsidRPr="00AF3BC0">
        <w:rPr>
          <w:bCs/>
        </w:rPr>
        <w:t>irectors, KMPs and other employees, in the manner to strike a balance</w:t>
      </w:r>
      <w:r w:rsidR="00F93B92" w:rsidRPr="00AF3BC0">
        <w:rPr>
          <w:bCs/>
        </w:rPr>
        <w:t xml:space="preserve"> </w:t>
      </w:r>
      <w:r w:rsidRPr="00AF3BC0">
        <w:rPr>
          <w:bCs/>
        </w:rPr>
        <w:t>between the interest of the Company and its Stakeholders.</w:t>
      </w:r>
    </w:p>
    <w:p w:rsidR="004A2AA3" w:rsidRPr="00AF3BC0" w:rsidRDefault="004A2AA3" w:rsidP="00AF3BC0">
      <w:pPr>
        <w:pStyle w:val="BodyText"/>
        <w:spacing w:line="278" w:lineRule="auto"/>
        <w:ind w:left="100" w:right="146"/>
        <w:jc w:val="both"/>
        <w:rPr>
          <w:bCs/>
        </w:rPr>
      </w:pPr>
      <w:r w:rsidRPr="00AF3BC0">
        <w:rPr>
          <w:bCs/>
        </w:rPr>
        <w:t>The guiding principle for fixing remuneration payable to the Directors, KMPs and other employees are as</w:t>
      </w:r>
      <w:r w:rsidR="007E4619" w:rsidRPr="00AF3BC0">
        <w:rPr>
          <w:bCs/>
        </w:rPr>
        <w:t xml:space="preserve"> </w:t>
      </w:r>
      <w:r w:rsidRPr="00AF3BC0">
        <w:rPr>
          <w:bCs/>
        </w:rPr>
        <w:t>follows:</w:t>
      </w:r>
    </w:p>
    <w:p w:rsidR="004A2AA3" w:rsidRPr="00F93B92" w:rsidRDefault="004A2AA3" w:rsidP="004A2AA3">
      <w:pPr>
        <w:pStyle w:val="Title"/>
        <w:rPr>
          <w:b w:val="0"/>
        </w:rPr>
      </w:pPr>
      <w:r w:rsidRPr="00F93B92">
        <w:rPr>
          <w:b w:val="0"/>
        </w:rPr>
        <w:t xml:space="preserve"> </w:t>
      </w:r>
      <w:proofErr w:type="gramStart"/>
      <w:r w:rsidRPr="00F93B92">
        <w:rPr>
          <w:b w:val="0"/>
        </w:rPr>
        <w:t>The</w:t>
      </w:r>
      <w:proofErr w:type="gramEnd"/>
      <w:r w:rsidRPr="00F93B92">
        <w:rPr>
          <w:b w:val="0"/>
        </w:rPr>
        <w:t xml:space="preserve"> level and composition of remuneration shall be reasonable and sufficient to attract, retain</w:t>
      </w:r>
      <w:r w:rsidR="00F93B92">
        <w:rPr>
          <w:b w:val="0"/>
        </w:rPr>
        <w:t xml:space="preserve"> </w:t>
      </w:r>
      <w:r w:rsidRPr="00F93B92">
        <w:rPr>
          <w:b w:val="0"/>
        </w:rPr>
        <w:t>and motivate Directors, Key Management Personnel and other employees.</w:t>
      </w:r>
    </w:p>
    <w:p w:rsidR="004A2AA3" w:rsidRPr="00F93B92" w:rsidRDefault="004A2AA3" w:rsidP="00917ABC">
      <w:pPr>
        <w:pStyle w:val="Title"/>
        <w:jc w:val="both"/>
        <w:rPr>
          <w:b w:val="0"/>
        </w:rPr>
      </w:pPr>
      <w:r w:rsidRPr="00F93B92">
        <w:rPr>
          <w:b w:val="0"/>
        </w:rPr>
        <w:t> The Remuneration/ Compensation/ Commission etc. paid to the Managing/ Whole-time/</w:t>
      </w:r>
      <w:r w:rsidR="00F93B92">
        <w:rPr>
          <w:b w:val="0"/>
        </w:rPr>
        <w:t xml:space="preserve"> </w:t>
      </w:r>
      <w:r w:rsidRPr="00F93B92">
        <w:rPr>
          <w:b w:val="0"/>
        </w:rPr>
        <w:t>Executive/ Independent Directors and/or KMP, shall be governed as per the provisions of the</w:t>
      </w:r>
      <w:r w:rsidR="00F93B92">
        <w:rPr>
          <w:b w:val="0"/>
        </w:rPr>
        <w:t xml:space="preserve"> </w:t>
      </w:r>
      <w:r w:rsidRPr="00F93B92">
        <w:rPr>
          <w:b w:val="0"/>
        </w:rPr>
        <w:t>Companies Act</w:t>
      </w:r>
      <w:r w:rsidR="007E4619" w:rsidRPr="00F93B92">
        <w:rPr>
          <w:b w:val="0"/>
        </w:rPr>
        <w:t>, 2013</w:t>
      </w:r>
      <w:r w:rsidRPr="00F93B92">
        <w:rPr>
          <w:b w:val="0"/>
        </w:rPr>
        <w:t xml:space="preserve"> and rules made there under. The amount of sitting fees shall be paid in</w:t>
      </w:r>
      <w:r w:rsidR="00F93B92">
        <w:rPr>
          <w:b w:val="0"/>
        </w:rPr>
        <w:t xml:space="preserve"> </w:t>
      </w:r>
      <w:r w:rsidRPr="00F93B92">
        <w:rPr>
          <w:b w:val="0"/>
        </w:rPr>
        <w:t>accordance with the decision of the Board, subject to ceiling/ limits as provided under</w:t>
      </w:r>
      <w:r w:rsidR="00F93B92">
        <w:rPr>
          <w:b w:val="0"/>
        </w:rPr>
        <w:t xml:space="preserve"> </w:t>
      </w:r>
      <w:r w:rsidRPr="00F93B92">
        <w:rPr>
          <w:b w:val="0"/>
        </w:rPr>
        <w:t>Companies Act, 2013 and rules made there under.</w:t>
      </w:r>
    </w:p>
    <w:p w:rsidR="004A2AA3" w:rsidRDefault="004A2AA3" w:rsidP="00E356B3">
      <w:pPr>
        <w:pStyle w:val="Title"/>
        <w:jc w:val="both"/>
        <w:rPr>
          <w:b w:val="0"/>
        </w:rPr>
      </w:pPr>
      <w:r w:rsidRPr="00F93B92">
        <w:rPr>
          <w:b w:val="0"/>
        </w:rPr>
        <w:t xml:space="preserve"> The Remuneration payable to the Directors, KMPs and other employees shall be </w:t>
      </w:r>
      <w:bookmarkStart w:id="0" w:name="_GoBack"/>
      <w:r w:rsidRPr="00F93B92">
        <w:rPr>
          <w:b w:val="0"/>
        </w:rPr>
        <w:t>reflective of the</w:t>
      </w:r>
      <w:r w:rsidR="00F93B92">
        <w:rPr>
          <w:b w:val="0"/>
        </w:rPr>
        <w:t xml:space="preserve"> </w:t>
      </w:r>
      <w:r w:rsidRPr="00F93B92">
        <w:rPr>
          <w:b w:val="0"/>
        </w:rPr>
        <w:t xml:space="preserve">individual’s role, responsibilities and experience in relation to </w:t>
      </w:r>
      <w:bookmarkEnd w:id="0"/>
      <w:r w:rsidRPr="00F93B92">
        <w:rPr>
          <w:b w:val="0"/>
        </w:rPr>
        <w:t>performance of day-to-day</w:t>
      </w:r>
      <w:r w:rsidR="00F93B92">
        <w:rPr>
          <w:b w:val="0"/>
        </w:rPr>
        <w:t xml:space="preserve"> </w:t>
      </w:r>
      <w:r w:rsidRPr="00F93B92">
        <w:rPr>
          <w:b w:val="0"/>
        </w:rPr>
        <w:t>activities.</w:t>
      </w:r>
    </w:p>
    <w:p w:rsidR="00462F5A" w:rsidRDefault="00462F5A" w:rsidP="004A2AA3">
      <w:pPr>
        <w:pStyle w:val="Title"/>
        <w:rPr>
          <w:b w:val="0"/>
        </w:rPr>
      </w:pPr>
    </w:p>
    <w:p w:rsidR="00B25F0B" w:rsidRDefault="0046571A" w:rsidP="00B25F0B">
      <w:pPr>
        <w:pStyle w:val="Default"/>
        <w:rPr>
          <w:b/>
          <w:bCs/>
          <w:sz w:val="22"/>
          <w:szCs w:val="22"/>
        </w:rPr>
      </w:pPr>
      <w:r>
        <w:rPr>
          <w:rFonts w:ascii="Verdana" w:eastAsia="Verdana" w:hAnsi="Verdana" w:cs="Verdana"/>
          <w:b/>
          <w:bCs/>
          <w:color w:val="auto"/>
          <w:sz w:val="22"/>
          <w:szCs w:val="22"/>
          <w:lang w:val="en-US"/>
        </w:rPr>
        <w:t>REMUNERATION TO NON-EXECUTIVE/INDEPENDENT DIRECTORS</w:t>
      </w:r>
      <w:r w:rsidR="00B25F0B">
        <w:rPr>
          <w:b/>
          <w:bCs/>
          <w:sz w:val="22"/>
          <w:szCs w:val="22"/>
        </w:rPr>
        <w:t xml:space="preserve">: </w:t>
      </w:r>
    </w:p>
    <w:p w:rsidR="00B25F0B" w:rsidRDefault="00B25F0B" w:rsidP="00B25F0B">
      <w:pPr>
        <w:pStyle w:val="Default"/>
        <w:rPr>
          <w:b/>
          <w:bCs/>
          <w:sz w:val="22"/>
          <w:szCs w:val="22"/>
        </w:rPr>
      </w:pPr>
    </w:p>
    <w:p w:rsidR="00B25F0B" w:rsidRPr="00B25F0B" w:rsidRDefault="00B25F0B" w:rsidP="003D0F9B">
      <w:pPr>
        <w:pStyle w:val="Default"/>
        <w:jc w:val="both"/>
        <w:rPr>
          <w:rFonts w:ascii="Verdana" w:eastAsia="Verdana" w:hAnsi="Verdana" w:cs="Verdana"/>
          <w:bCs/>
          <w:color w:val="auto"/>
          <w:sz w:val="22"/>
          <w:szCs w:val="22"/>
          <w:lang w:val="en-US"/>
        </w:rPr>
      </w:pPr>
      <w:r w:rsidRPr="00B25F0B">
        <w:rPr>
          <w:rFonts w:ascii="Verdana" w:eastAsia="Verdana" w:hAnsi="Verdana" w:cs="Verdana"/>
          <w:bCs/>
          <w:color w:val="auto"/>
          <w:sz w:val="22"/>
          <w:szCs w:val="22"/>
          <w:lang w:val="en-US"/>
        </w:rPr>
        <w:t xml:space="preserve">The remuneration/commission payable to Non-Executive or Independent Directors, if any, shall be in accordance with the statutory provisions of the Act and the rules made thereunder. </w:t>
      </w:r>
    </w:p>
    <w:p w:rsidR="00B25F0B" w:rsidRDefault="00B25F0B" w:rsidP="00495B4E">
      <w:pPr>
        <w:pStyle w:val="BodyText"/>
        <w:jc w:val="both"/>
        <w:rPr>
          <w:b/>
          <w:sz w:val="26"/>
        </w:rPr>
      </w:pPr>
      <w:r w:rsidRPr="00B25F0B">
        <w:rPr>
          <w:bCs/>
        </w:rPr>
        <w:t>Non-Executive Directors may receive remuneration by way of fees for attending meetings of the Board or Committee thereof, which is excluded from the above limit. However, the amount of such fees shall not exceed the prescribed limits per meeting of the Board or Committee or such amount as may be decided by the Board of Directors</w:t>
      </w:r>
      <w:r>
        <w:t xml:space="preserve"> from time to time.</w:t>
      </w:r>
    </w:p>
    <w:p w:rsidR="00707A2E" w:rsidRDefault="00707A2E">
      <w:pPr>
        <w:pStyle w:val="BodyText"/>
        <w:ind w:left="100"/>
      </w:pPr>
    </w:p>
    <w:p w:rsidR="009C0976" w:rsidRDefault="006A4731">
      <w:pPr>
        <w:pStyle w:val="BodyText"/>
        <w:spacing w:before="1"/>
        <w:ind w:left="100"/>
        <w:rPr>
          <w:b/>
        </w:rPr>
      </w:pPr>
      <w:r w:rsidRPr="00707A2E">
        <w:rPr>
          <w:b/>
        </w:rPr>
        <w:t>AMENDMENT AND UPDATIONS</w:t>
      </w:r>
    </w:p>
    <w:p w:rsidR="00CD5C14" w:rsidRDefault="00CD5C14">
      <w:pPr>
        <w:pStyle w:val="BodyText"/>
        <w:spacing w:before="1"/>
        <w:ind w:left="100"/>
        <w:rPr>
          <w:b/>
        </w:rPr>
      </w:pPr>
    </w:p>
    <w:p w:rsidR="00CD5C14" w:rsidRDefault="00CD5C14" w:rsidP="00495B4E">
      <w:pPr>
        <w:pStyle w:val="BodyText"/>
        <w:spacing w:before="1"/>
        <w:ind w:left="100"/>
        <w:jc w:val="both"/>
      </w:pPr>
      <w:r>
        <w:t xml:space="preserve">This Policy is formulated in accordance with the Companies Act, 2013 and the Listing Regulations. If any subsequent amendments to the Act or regulations render the Policy's provisions inconsistent, the Act or regulations shall prevail and </w:t>
      </w:r>
      <w:r w:rsidRPr="00AF3BC0">
        <w:rPr>
          <w:bCs/>
        </w:rPr>
        <w:t>the provisions in the policy would be modified in due course to make it consistent with law</w:t>
      </w:r>
      <w:r>
        <w:rPr>
          <w:bCs/>
        </w:rPr>
        <w:t>.</w:t>
      </w:r>
      <w:r>
        <w:t xml:space="preserve"> Any proposed changes or modifications will be presented to the Board of Directors for approval</w:t>
      </w:r>
    </w:p>
    <w:p w:rsidR="00CD5C14" w:rsidRPr="00707A2E" w:rsidRDefault="00CD5C14">
      <w:pPr>
        <w:pStyle w:val="BodyText"/>
        <w:spacing w:before="1"/>
        <w:ind w:left="100"/>
        <w:rPr>
          <w:b/>
        </w:rPr>
      </w:pPr>
    </w:p>
    <w:p w:rsidR="00FA65E0" w:rsidRDefault="00CD5C14" w:rsidP="004A2AA3">
      <w:pPr>
        <w:pStyle w:val="BodyText"/>
        <w:spacing w:line="278" w:lineRule="auto"/>
        <w:ind w:left="100" w:right="146"/>
        <w:jc w:val="both"/>
        <w:rPr>
          <w:color w:val="212121"/>
          <w:sz w:val="20"/>
          <w:szCs w:val="20"/>
        </w:rPr>
      </w:pPr>
      <w:r>
        <w:rPr>
          <w:color w:val="212121"/>
          <w:sz w:val="20"/>
          <w:szCs w:val="20"/>
        </w:rPr>
        <w:t xml:space="preserve"> </w:t>
      </w:r>
    </w:p>
    <w:p w:rsidR="00FA65E0" w:rsidRDefault="00FA65E0" w:rsidP="00FA65E0">
      <w:pPr>
        <w:pStyle w:val="BodyText"/>
        <w:spacing w:line="278" w:lineRule="auto"/>
        <w:ind w:left="100" w:right="146"/>
        <w:jc w:val="both"/>
      </w:pPr>
      <w:r w:rsidRPr="00FA65E0">
        <w:t>This Policy applies to all the “Executives” of the Company</w:t>
      </w:r>
      <w:r>
        <w:t>.</w:t>
      </w:r>
      <w:r w:rsidRPr="00FA65E0">
        <w:t xml:space="preserve"> </w:t>
      </w:r>
      <w:r>
        <w:t>In addition, the principles of selection and remuneration under this Policy also extends to the Non-Executive Directors, including Independent Directors of the Company.</w:t>
      </w:r>
    </w:p>
    <w:sectPr w:rsidR="00FA65E0" w:rsidSect="009C0976">
      <w:pgSz w:w="12240" w:h="15840"/>
      <w:pgMar w:top="820" w:right="8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A7179"/>
    <w:multiLevelType w:val="hybridMultilevel"/>
    <w:tmpl w:val="F3FCA85E"/>
    <w:lvl w:ilvl="0" w:tplc="B658D7E2">
      <w:start w:val="1"/>
      <w:numFmt w:val="lowerLetter"/>
      <w:lvlText w:val="%1."/>
      <w:lvlJc w:val="left"/>
      <w:pPr>
        <w:ind w:left="100" w:hanging="294"/>
      </w:pPr>
      <w:rPr>
        <w:rFonts w:ascii="Verdana" w:eastAsia="Verdana" w:hAnsi="Verdana" w:cs="Verdana" w:hint="default"/>
        <w:spacing w:val="-1"/>
        <w:w w:val="100"/>
        <w:sz w:val="22"/>
        <w:szCs w:val="22"/>
        <w:lang w:val="en-US" w:eastAsia="en-US" w:bidi="ar-SA"/>
      </w:rPr>
    </w:lvl>
    <w:lvl w:ilvl="1" w:tplc="AC420514">
      <w:numFmt w:val="bullet"/>
      <w:lvlText w:val="•"/>
      <w:lvlJc w:val="left"/>
      <w:pPr>
        <w:ind w:left="1092" w:hanging="294"/>
      </w:pPr>
      <w:rPr>
        <w:rFonts w:hint="default"/>
        <w:lang w:val="en-US" w:eastAsia="en-US" w:bidi="ar-SA"/>
      </w:rPr>
    </w:lvl>
    <w:lvl w:ilvl="2" w:tplc="21EA819C">
      <w:numFmt w:val="bullet"/>
      <w:lvlText w:val="•"/>
      <w:lvlJc w:val="left"/>
      <w:pPr>
        <w:ind w:left="2084" w:hanging="294"/>
      </w:pPr>
      <w:rPr>
        <w:rFonts w:hint="default"/>
        <w:lang w:val="en-US" w:eastAsia="en-US" w:bidi="ar-SA"/>
      </w:rPr>
    </w:lvl>
    <w:lvl w:ilvl="3" w:tplc="ACEA06C8">
      <w:numFmt w:val="bullet"/>
      <w:lvlText w:val="•"/>
      <w:lvlJc w:val="left"/>
      <w:pPr>
        <w:ind w:left="3076" w:hanging="294"/>
      </w:pPr>
      <w:rPr>
        <w:rFonts w:hint="default"/>
        <w:lang w:val="en-US" w:eastAsia="en-US" w:bidi="ar-SA"/>
      </w:rPr>
    </w:lvl>
    <w:lvl w:ilvl="4" w:tplc="A2A04B06">
      <w:numFmt w:val="bullet"/>
      <w:lvlText w:val="•"/>
      <w:lvlJc w:val="left"/>
      <w:pPr>
        <w:ind w:left="4068" w:hanging="294"/>
      </w:pPr>
      <w:rPr>
        <w:rFonts w:hint="default"/>
        <w:lang w:val="en-US" w:eastAsia="en-US" w:bidi="ar-SA"/>
      </w:rPr>
    </w:lvl>
    <w:lvl w:ilvl="5" w:tplc="AE0EF600">
      <w:numFmt w:val="bullet"/>
      <w:lvlText w:val="•"/>
      <w:lvlJc w:val="left"/>
      <w:pPr>
        <w:ind w:left="5060" w:hanging="294"/>
      </w:pPr>
      <w:rPr>
        <w:rFonts w:hint="default"/>
        <w:lang w:val="en-US" w:eastAsia="en-US" w:bidi="ar-SA"/>
      </w:rPr>
    </w:lvl>
    <w:lvl w:ilvl="6" w:tplc="FFDA0610">
      <w:numFmt w:val="bullet"/>
      <w:lvlText w:val="•"/>
      <w:lvlJc w:val="left"/>
      <w:pPr>
        <w:ind w:left="6052" w:hanging="294"/>
      </w:pPr>
      <w:rPr>
        <w:rFonts w:hint="default"/>
        <w:lang w:val="en-US" w:eastAsia="en-US" w:bidi="ar-SA"/>
      </w:rPr>
    </w:lvl>
    <w:lvl w:ilvl="7" w:tplc="04B88A46">
      <w:numFmt w:val="bullet"/>
      <w:lvlText w:val="•"/>
      <w:lvlJc w:val="left"/>
      <w:pPr>
        <w:ind w:left="7044" w:hanging="294"/>
      </w:pPr>
      <w:rPr>
        <w:rFonts w:hint="default"/>
        <w:lang w:val="en-US" w:eastAsia="en-US" w:bidi="ar-SA"/>
      </w:rPr>
    </w:lvl>
    <w:lvl w:ilvl="8" w:tplc="39C25770">
      <w:numFmt w:val="bullet"/>
      <w:lvlText w:val="•"/>
      <w:lvlJc w:val="left"/>
      <w:pPr>
        <w:ind w:left="8036" w:hanging="294"/>
      </w:pPr>
      <w:rPr>
        <w:rFonts w:hint="default"/>
        <w:lang w:val="en-US" w:eastAsia="en-US" w:bidi="ar-SA"/>
      </w:rPr>
    </w:lvl>
  </w:abstractNum>
  <w:abstractNum w:abstractNumId="1">
    <w:nsid w:val="37393203"/>
    <w:multiLevelType w:val="hybridMultilevel"/>
    <w:tmpl w:val="D4624AB8"/>
    <w:lvl w:ilvl="0" w:tplc="F7D690A2">
      <w:start w:val="1"/>
      <w:numFmt w:val="lowerRoman"/>
      <w:lvlText w:val="%1)"/>
      <w:lvlJc w:val="left"/>
      <w:pPr>
        <w:ind w:left="412" w:hanging="236"/>
        <w:jc w:val="right"/>
      </w:pPr>
      <w:rPr>
        <w:rFonts w:ascii="Verdana" w:eastAsia="Verdana" w:hAnsi="Verdana" w:cs="Verdana" w:hint="default"/>
        <w:spacing w:val="-3"/>
        <w:w w:val="100"/>
        <w:sz w:val="22"/>
        <w:szCs w:val="22"/>
        <w:lang w:val="en-US" w:eastAsia="en-US" w:bidi="ar-SA"/>
      </w:rPr>
    </w:lvl>
    <w:lvl w:ilvl="1" w:tplc="00EA6BF8">
      <w:numFmt w:val="bullet"/>
      <w:lvlText w:val="•"/>
      <w:lvlJc w:val="left"/>
      <w:pPr>
        <w:ind w:left="1380" w:hanging="236"/>
      </w:pPr>
      <w:rPr>
        <w:rFonts w:hint="default"/>
        <w:lang w:val="en-US" w:eastAsia="en-US" w:bidi="ar-SA"/>
      </w:rPr>
    </w:lvl>
    <w:lvl w:ilvl="2" w:tplc="9A646C92">
      <w:numFmt w:val="bullet"/>
      <w:lvlText w:val="•"/>
      <w:lvlJc w:val="left"/>
      <w:pPr>
        <w:ind w:left="2340" w:hanging="236"/>
      </w:pPr>
      <w:rPr>
        <w:rFonts w:hint="default"/>
        <w:lang w:val="en-US" w:eastAsia="en-US" w:bidi="ar-SA"/>
      </w:rPr>
    </w:lvl>
    <w:lvl w:ilvl="3" w:tplc="B2608676">
      <w:numFmt w:val="bullet"/>
      <w:lvlText w:val="•"/>
      <w:lvlJc w:val="left"/>
      <w:pPr>
        <w:ind w:left="3300" w:hanging="236"/>
      </w:pPr>
      <w:rPr>
        <w:rFonts w:hint="default"/>
        <w:lang w:val="en-US" w:eastAsia="en-US" w:bidi="ar-SA"/>
      </w:rPr>
    </w:lvl>
    <w:lvl w:ilvl="4" w:tplc="E6562150">
      <w:numFmt w:val="bullet"/>
      <w:lvlText w:val="•"/>
      <w:lvlJc w:val="left"/>
      <w:pPr>
        <w:ind w:left="4260" w:hanging="236"/>
      </w:pPr>
      <w:rPr>
        <w:rFonts w:hint="default"/>
        <w:lang w:val="en-US" w:eastAsia="en-US" w:bidi="ar-SA"/>
      </w:rPr>
    </w:lvl>
    <w:lvl w:ilvl="5" w:tplc="4EB4A708">
      <w:numFmt w:val="bullet"/>
      <w:lvlText w:val="•"/>
      <w:lvlJc w:val="left"/>
      <w:pPr>
        <w:ind w:left="5220" w:hanging="236"/>
      </w:pPr>
      <w:rPr>
        <w:rFonts w:hint="default"/>
        <w:lang w:val="en-US" w:eastAsia="en-US" w:bidi="ar-SA"/>
      </w:rPr>
    </w:lvl>
    <w:lvl w:ilvl="6" w:tplc="6F80EFBC">
      <w:numFmt w:val="bullet"/>
      <w:lvlText w:val="•"/>
      <w:lvlJc w:val="left"/>
      <w:pPr>
        <w:ind w:left="6180" w:hanging="236"/>
      </w:pPr>
      <w:rPr>
        <w:rFonts w:hint="default"/>
        <w:lang w:val="en-US" w:eastAsia="en-US" w:bidi="ar-SA"/>
      </w:rPr>
    </w:lvl>
    <w:lvl w:ilvl="7" w:tplc="92E84634">
      <w:numFmt w:val="bullet"/>
      <w:lvlText w:val="•"/>
      <w:lvlJc w:val="left"/>
      <w:pPr>
        <w:ind w:left="7140" w:hanging="236"/>
      </w:pPr>
      <w:rPr>
        <w:rFonts w:hint="default"/>
        <w:lang w:val="en-US" w:eastAsia="en-US" w:bidi="ar-SA"/>
      </w:rPr>
    </w:lvl>
    <w:lvl w:ilvl="8" w:tplc="9118A8B4">
      <w:numFmt w:val="bullet"/>
      <w:lvlText w:val="•"/>
      <w:lvlJc w:val="left"/>
      <w:pPr>
        <w:ind w:left="8100" w:hanging="236"/>
      </w:pPr>
      <w:rPr>
        <w:rFonts w:hint="default"/>
        <w:lang w:val="en-US" w:eastAsia="en-US" w:bidi="ar-SA"/>
      </w:rPr>
    </w:lvl>
  </w:abstractNum>
  <w:abstractNum w:abstractNumId="2">
    <w:nsid w:val="71E41781"/>
    <w:multiLevelType w:val="hybridMultilevel"/>
    <w:tmpl w:val="D1240DE8"/>
    <w:lvl w:ilvl="0" w:tplc="BAE8FC20">
      <w:start w:val="1"/>
      <w:numFmt w:val="lowerRoman"/>
      <w:lvlText w:val="%1)"/>
      <w:lvlJc w:val="left"/>
      <w:pPr>
        <w:ind w:left="100" w:hanging="296"/>
      </w:pPr>
      <w:rPr>
        <w:rFonts w:ascii="Verdana" w:eastAsia="Verdana" w:hAnsi="Verdana" w:cs="Verdana" w:hint="default"/>
        <w:spacing w:val="-3"/>
        <w:w w:val="100"/>
        <w:sz w:val="22"/>
        <w:szCs w:val="22"/>
        <w:lang w:val="en-US" w:eastAsia="en-US" w:bidi="ar-SA"/>
      </w:rPr>
    </w:lvl>
    <w:lvl w:ilvl="1" w:tplc="248459C2">
      <w:numFmt w:val="bullet"/>
      <w:lvlText w:val="•"/>
      <w:lvlJc w:val="left"/>
      <w:pPr>
        <w:ind w:left="1092" w:hanging="296"/>
      </w:pPr>
      <w:rPr>
        <w:rFonts w:hint="default"/>
        <w:lang w:val="en-US" w:eastAsia="en-US" w:bidi="ar-SA"/>
      </w:rPr>
    </w:lvl>
    <w:lvl w:ilvl="2" w:tplc="026C3EBC">
      <w:numFmt w:val="bullet"/>
      <w:lvlText w:val="•"/>
      <w:lvlJc w:val="left"/>
      <w:pPr>
        <w:ind w:left="2084" w:hanging="296"/>
      </w:pPr>
      <w:rPr>
        <w:rFonts w:hint="default"/>
        <w:lang w:val="en-US" w:eastAsia="en-US" w:bidi="ar-SA"/>
      </w:rPr>
    </w:lvl>
    <w:lvl w:ilvl="3" w:tplc="1908B70C">
      <w:numFmt w:val="bullet"/>
      <w:lvlText w:val="•"/>
      <w:lvlJc w:val="left"/>
      <w:pPr>
        <w:ind w:left="3076" w:hanging="296"/>
      </w:pPr>
      <w:rPr>
        <w:rFonts w:hint="default"/>
        <w:lang w:val="en-US" w:eastAsia="en-US" w:bidi="ar-SA"/>
      </w:rPr>
    </w:lvl>
    <w:lvl w:ilvl="4" w:tplc="FE3E2952">
      <w:numFmt w:val="bullet"/>
      <w:lvlText w:val="•"/>
      <w:lvlJc w:val="left"/>
      <w:pPr>
        <w:ind w:left="4068" w:hanging="296"/>
      </w:pPr>
      <w:rPr>
        <w:rFonts w:hint="default"/>
        <w:lang w:val="en-US" w:eastAsia="en-US" w:bidi="ar-SA"/>
      </w:rPr>
    </w:lvl>
    <w:lvl w:ilvl="5" w:tplc="8D06A89A">
      <w:numFmt w:val="bullet"/>
      <w:lvlText w:val="•"/>
      <w:lvlJc w:val="left"/>
      <w:pPr>
        <w:ind w:left="5060" w:hanging="296"/>
      </w:pPr>
      <w:rPr>
        <w:rFonts w:hint="default"/>
        <w:lang w:val="en-US" w:eastAsia="en-US" w:bidi="ar-SA"/>
      </w:rPr>
    </w:lvl>
    <w:lvl w:ilvl="6" w:tplc="B5D082D2">
      <w:numFmt w:val="bullet"/>
      <w:lvlText w:val="•"/>
      <w:lvlJc w:val="left"/>
      <w:pPr>
        <w:ind w:left="6052" w:hanging="296"/>
      </w:pPr>
      <w:rPr>
        <w:rFonts w:hint="default"/>
        <w:lang w:val="en-US" w:eastAsia="en-US" w:bidi="ar-SA"/>
      </w:rPr>
    </w:lvl>
    <w:lvl w:ilvl="7" w:tplc="477CAD08">
      <w:numFmt w:val="bullet"/>
      <w:lvlText w:val="•"/>
      <w:lvlJc w:val="left"/>
      <w:pPr>
        <w:ind w:left="7044" w:hanging="296"/>
      </w:pPr>
      <w:rPr>
        <w:rFonts w:hint="default"/>
        <w:lang w:val="en-US" w:eastAsia="en-US" w:bidi="ar-SA"/>
      </w:rPr>
    </w:lvl>
    <w:lvl w:ilvl="8" w:tplc="7E1443F4">
      <w:numFmt w:val="bullet"/>
      <w:lvlText w:val="•"/>
      <w:lvlJc w:val="left"/>
      <w:pPr>
        <w:ind w:left="8036" w:hanging="296"/>
      </w:pPr>
      <w:rPr>
        <w:rFonts w:hint="default"/>
        <w:lang w:val="en-US" w:eastAsia="en-US" w:bidi="ar-SA"/>
      </w:rPr>
    </w:lvl>
  </w:abstractNum>
  <w:abstractNum w:abstractNumId="3">
    <w:nsid w:val="72F87255"/>
    <w:multiLevelType w:val="hybridMultilevel"/>
    <w:tmpl w:val="DF0A2766"/>
    <w:lvl w:ilvl="0" w:tplc="D2FEDAD8">
      <w:start w:val="1"/>
      <w:numFmt w:val="lowerRoman"/>
      <w:lvlText w:val="%1)"/>
      <w:lvlJc w:val="left"/>
      <w:pPr>
        <w:ind w:left="100" w:hanging="248"/>
      </w:pPr>
      <w:rPr>
        <w:rFonts w:ascii="Verdana" w:eastAsia="Verdana" w:hAnsi="Verdana" w:cs="Verdana" w:hint="default"/>
        <w:spacing w:val="-3"/>
        <w:w w:val="100"/>
        <w:sz w:val="22"/>
        <w:szCs w:val="22"/>
        <w:lang w:val="en-US" w:eastAsia="en-US" w:bidi="ar-SA"/>
      </w:rPr>
    </w:lvl>
    <w:lvl w:ilvl="1" w:tplc="45ECD96E">
      <w:numFmt w:val="bullet"/>
      <w:lvlText w:val="•"/>
      <w:lvlJc w:val="left"/>
      <w:pPr>
        <w:ind w:left="1092" w:hanging="248"/>
      </w:pPr>
      <w:rPr>
        <w:rFonts w:hint="default"/>
        <w:lang w:val="en-US" w:eastAsia="en-US" w:bidi="ar-SA"/>
      </w:rPr>
    </w:lvl>
    <w:lvl w:ilvl="2" w:tplc="E570BCE4">
      <w:numFmt w:val="bullet"/>
      <w:lvlText w:val="•"/>
      <w:lvlJc w:val="left"/>
      <w:pPr>
        <w:ind w:left="2084" w:hanging="248"/>
      </w:pPr>
      <w:rPr>
        <w:rFonts w:hint="default"/>
        <w:lang w:val="en-US" w:eastAsia="en-US" w:bidi="ar-SA"/>
      </w:rPr>
    </w:lvl>
    <w:lvl w:ilvl="3" w:tplc="E98C4CB8">
      <w:numFmt w:val="bullet"/>
      <w:lvlText w:val="•"/>
      <w:lvlJc w:val="left"/>
      <w:pPr>
        <w:ind w:left="3076" w:hanging="248"/>
      </w:pPr>
      <w:rPr>
        <w:rFonts w:hint="default"/>
        <w:lang w:val="en-US" w:eastAsia="en-US" w:bidi="ar-SA"/>
      </w:rPr>
    </w:lvl>
    <w:lvl w:ilvl="4" w:tplc="AD562C46">
      <w:numFmt w:val="bullet"/>
      <w:lvlText w:val="•"/>
      <w:lvlJc w:val="left"/>
      <w:pPr>
        <w:ind w:left="4068" w:hanging="248"/>
      </w:pPr>
      <w:rPr>
        <w:rFonts w:hint="default"/>
        <w:lang w:val="en-US" w:eastAsia="en-US" w:bidi="ar-SA"/>
      </w:rPr>
    </w:lvl>
    <w:lvl w:ilvl="5" w:tplc="E8128D84">
      <w:numFmt w:val="bullet"/>
      <w:lvlText w:val="•"/>
      <w:lvlJc w:val="left"/>
      <w:pPr>
        <w:ind w:left="5060" w:hanging="248"/>
      </w:pPr>
      <w:rPr>
        <w:rFonts w:hint="default"/>
        <w:lang w:val="en-US" w:eastAsia="en-US" w:bidi="ar-SA"/>
      </w:rPr>
    </w:lvl>
    <w:lvl w:ilvl="6" w:tplc="703E5C46">
      <w:numFmt w:val="bullet"/>
      <w:lvlText w:val="•"/>
      <w:lvlJc w:val="left"/>
      <w:pPr>
        <w:ind w:left="6052" w:hanging="248"/>
      </w:pPr>
      <w:rPr>
        <w:rFonts w:hint="default"/>
        <w:lang w:val="en-US" w:eastAsia="en-US" w:bidi="ar-SA"/>
      </w:rPr>
    </w:lvl>
    <w:lvl w:ilvl="7" w:tplc="86BAFF8C">
      <w:numFmt w:val="bullet"/>
      <w:lvlText w:val="•"/>
      <w:lvlJc w:val="left"/>
      <w:pPr>
        <w:ind w:left="7044" w:hanging="248"/>
      </w:pPr>
      <w:rPr>
        <w:rFonts w:hint="default"/>
        <w:lang w:val="en-US" w:eastAsia="en-US" w:bidi="ar-SA"/>
      </w:rPr>
    </w:lvl>
    <w:lvl w:ilvl="8" w:tplc="3B0CA29C">
      <w:numFmt w:val="bullet"/>
      <w:lvlText w:val="•"/>
      <w:lvlJc w:val="left"/>
      <w:pPr>
        <w:ind w:left="8036" w:hanging="248"/>
      </w:pPr>
      <w:rPr>
        <w:rFonts w:hint="default"/>
        <w:lang w:val="en-US" w:eastAsia="en-US" w:bidi="ar-S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9C0976"/>
    <w:rsid w:val="001758B3"/>
    <w:rsid w:val="002B0DAB"/>
    <w:rsid w:val="003D0F9B"/>
    <w:rsid w:val="004126CF"/>
    <w:rsid w:val="00462F5A"/>
    <w:rsid w:val="0046571A"/>
    <w:rsid w:val="00495B4E"/>
    <w:rsid w:val="004A2AA3"/>
    <w:rsid w:val="006A4731"/>
    <w:rsid w:val="00707A2E"/>
    <w:rsid w:val="007B4CD8"/>
    <w:rsid w:val="007E4619"/>
    <w:rsid w:val="0082706D"/>
    <w:rsid w:val="00917ABC"/>
    <w:rsid w:val="009C0976"/>
    <w:rsid w:val="00AF3BC0"/>
    <w:rsid w:val="00B25F0B"/>
    <w:rsid w:val="00C262E2"/>
    <w:rsid w:val="00CD5C14"/>
    <w:rsid w:val="00E356B3"/>
    <w:rsid w:val="00F93B92"/>
    <w:rsid w:val="00FA65E0"/>
    <w:rsid w:val="00FF4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1EB901-4AE0-418E-BF9F-B6E0660C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C0976"/>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0976"/>
  </w:style>
  <w:style w:type="paragraph" w:styleId="Title">
    <w:name w:val="Title"/>
    <w:basedOn w:val="Normal"/>
    <w:uiPriority w:val="1"/>
    <w:qFormat/>
    <w:rsid w:val="009C0976"/>
    <w:pPr>
      <w:spacing w:before="77"/>
      <w:ind w:left="100"/>
    </w:pPr>
    <w:rPr>
      <w:b/>
      <w:bCs/>
    </w:rPr>
  </w:style>
  <w:style w:type="paragraph" w:styleId="ListParagraph">
    <w:name w:val="List Paragraph"/>
    <w:basedOn w:val="Normal"/>
    <w:uiPriority w:val="1"/>
    <w:qFormat/>
    <w:rsid w:val="009C0976"/>
    <w:pPr>
      <w:spacing w:before="201"/>
      <w:ind w:left="100" w:right="103"/>
      <w:jc w:val="both"/>
    </w:pPr>
  </w:style>
  <w:style w:type="paragraph" w:customStyle="1" w:styleId="TableParagraph">
    <w:name w:val="Table Paragraph"/>
    <w:basedOn w:val="Normal"/>
    <w:uiPriority w:val="1"/>
    <w:qFormat/>
    <w:rsid w:val="009C0976"/>
  </w:style>
  <w:style w:type="paragraph" w:styleId="BalloonText">
    <w:name w:val="Balloon Text"/>
    <w:basedOn w:val="Normal"/>
    <w:link w:val="BalloonTextChar"/>
    <w:uiPriority w:val="99"/>
    <w:semiHidden/>
    <w:unhideWhenUsed/>
    <w:rsid w:val="007B4CD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CD8"/>
    <w:rPr>
      <w:rFonts w:ascii="Segoe UI" w:eastAsia="Verdana" w:hAnsi="Segoe UI" w:cs="Segoe UI"/>
      <w:sz w:val="18"/>
      <w:szCs w:val="18"/>
    </w:rPr>
  </w:style>
  <w:style w:type="paragraph" w:customStyle="1" w:styleId="Default">
    <w:name w:val="Default"/>
    <w:rsid w:val="001758B3"/>
    <w:pPr>
      <w:widowControl/>
      <w:adjustRightInd w:val="0"/>
    </w:pPr>
    <w:rPr>
      <w:rFonts w:ascii="Calibri" w:hAnsi="Calibri" w:cs="Calibri"/>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2</Pages>
  <Words>867</Words>
  <Characters>4944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5800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17</cp:revision>
  <cp:lastPrinted>2026-02-26T08:07:00Z</cp:lastPrinted>
  <dcterms:created xsi:type="dcterms:W3CDTF">2021-02-19T11:00:00Z</dcterms:created>
  <dcterms:modified xsi:type="dcterms:W3CDTF">2026-03-02T07:39:00Z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